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CD2" w:rsidRPr="008630F6" w:rsidRDefault="00500CD2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0F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500CD2" w:rsidRPr="008630F6" w:rsidRDefault="00500CD2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0F6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Тоншаевского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00CD2" w:rsidRPr="008630F6" w:rsidRDefault="00500CD2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0F6">
        <w:rPr>
          <w:rFonts w:ascii="Times New Roman" w:hAnsi="Times New Roman" w:cs="Times New Roman"/>
          <w:b/>
          <w:sz w:val="28"/>
          <w:szCs w:val="28"/>
        </w:rPr>
        <w:t>Нижегородской области»</w:t>
      </w:r>
    </w:p>
    <w:p w:rsidR="00500CD2" w:rsidRPr="008630F6" w:rsidRDefault="00500CD2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0"/>
      <w:bookmarkStart w:id="1" w:name="Par45"/>
      <w:bookmarkEnd w:id="0"/>
      <w:bookmarkEnd w:id="1"/>
      <w:r w:rsidRPr="008630F6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500CD2" w:rsidRPr="008630F6" w:rsidRDefault="00500CD2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500CD2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0"/>
      <w:bookmarkEnd w:id="2"/>
      <w:r w:rsidRPr="008630F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97D0A" w:rsidRPr="00F97D0A">
        <w:rPr>
          <w:rFonts w:ascii="Times New Roman" w:hAnsi="Times New Roman" w:cs="Times New Roman"/>
          <w:b/>
          <w:sz w:val="28"/>
          <w:szCs w:val="28"/>
        </w:rPr>
        <w:t>1. ПАСПОРТ 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0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91"/>
        <w:gridCol w:w="7212"/>
      </w:tblGrid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 Муниципальный заказчик 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 Координатор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3.Соисполнители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муниципального округа Нижегородской области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Отдел архитектуры и строительства администрации Тоншаевского муниципального округа Нижегородской области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централизованная библиотечная система» Тоншаевского муниципального района Нижегородской области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4.Подпрограммы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 «Развитие общего образования»;</w:t>
            </w:r>
          </w:p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 «Развитие дополнительного образования и воспитания детей и молодежи»;</w:t>
            </w:r>
          </w:p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«Развитие системы оценки качества образования и информационной прозрачности системы образования»;</w:t>
            </w:r>
          </w:p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4 «Патриотическое воспитание и подготовка граждан в Тоншаевском муниципальном округе к военной службе»;</w:t>
            </w:r>
          </w:p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 «Ресурсное обеспечение сферы образования»;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6 «Ликвидация очередности в дошкольных образовательных организациях Нижегородской области детей в возрасте 3 - 7 лет в 2015 году и на период до 2023 года»;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7 «Социально-правовая защита детей в Тоншаевском муниципальном округе»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5.Цель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Формирование на территории Тоншаевского муниципального округа Нижегородской области образовательной системы, обеспечивающей доступность качественного образования, отвечающего потребностям инновационного развития экономики округа, ожиданиям общества и каждого гражданина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6.Задачи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условий, обеспечивающих соответствие муниципальной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</w:t>
            </w:r>
            <w:proofErr w:type="gram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равных возможностей для современного качественного образования</w:t>
            </w:r>
            <w:proofErr w:type="gram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и позитивной социализации детей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 Обеспечение надежной и актуальной информацией процессов принятия решений участниками образовательных отношений в целях повышения качества образования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Развитие и укрепление системы гражданско-патриотического воспитания в Тоншаевском муниципальном округе Нижегородской области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 Развитие инфраструктуры и организационно-экономических механизмов, обеспечивающих доступность качественного образования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6. Обеспечение доступных качественных образовательных услуг дошкольного образования семьям, имеющим детей дошкольного возраста, проживающим на территории Тоншаевского муниципального округа Нижегородской области, </w:t>
            </w:r>
            <w:r w:rsidRPr="00F97D0A">
              <w:rPr>
                <w:rFonts w:ascii="Times New Roman" w:eastAsia="Arial Unicode MS" w:hAnsi="Times New Roman" w:cs="Times New Roman"/>
                <w:sz w:val="24"/>
                <w:szCs w:val="24"/>
              </w:rPr>
              <w:t>и предоставление права на качественное образование, соответствующее современному уровню требований, детям младшего школьного возраста, проживающим в отдаленных территориях сельской местности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 Обеспечение государственных гарантий прав граждан на получение общедоступного дошкольного образования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 Обеспечение социально-правовой защиты детей на территории Тоншаевского муниципального округа Нижегородской области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9. Обеспечение нормативных требований, предъявляемых к муниципальным образовательным организациям, реализующим общеобразовательные программы (далее – МОО), согласно требованиям санитарно-эпидемиологического законодательства и нормам пожарной безопасности, необходимых для ведения безопасного, качественного и комфортного образовательного процесса.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10. Обеспечение функционирования системы персонифицированного функционирования,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11.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Этапы и сроки реализации Программы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Программа действует с 2015 года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 Объемы бюджетных ассигнований Программы за счет средств бюджета (в разбивке по подпрограммам)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из бюджета в ценах соответствующих лет составляет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5608645,12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 в тыс. руб.: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- 361960,28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- 292881,05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- 298364,43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- 292790,82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- 336519,85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- 345316,05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- 352631,24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396250,58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455350,30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673376,26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671820</w:t>
            </w:r>
            <w:r w:rsidR="00F97D0A" w:rsidRPr="00F9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627537,86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563060,45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6803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год - 241343,51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- 245928,88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- 252238,31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- 251446,44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- 288026,38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- 294069,10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- 308884,99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350132,86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400738,00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546418,00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603989,54</w:t>
            </w:r>
          </w:p>
          <w:p w:rsid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559531,14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494690,47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4837437,47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118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- 15154,07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- 16199,55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- 17799,42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- 19143,26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- 18585,57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- 15862,88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- 18623,06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19903,06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23700,00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30972,00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30407</w:t>
            </w:r>
            <w:r w:rsidR="00F97D0A" w:rsidRPr="00F9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– 29351,63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29762,84 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285464,50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329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- 524,60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- 484,30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- 507,10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- 634,00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- 646,00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- 654,70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- 619,30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684,10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766,90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– 975,20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1060,50</w:t>
            </w:r>
          </w:p>
          <w:p w:rsid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1060,50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1060,50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9677,70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485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4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- 470,89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- 61,99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2026 год – 0,00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2,88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607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5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- 23983,15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- 29435,43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- 27357,31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- 21117,32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- 28643,00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- 34260,67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- 24035,18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24967,36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29548,90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32960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36233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936A40">
              <w:rPr>
                <w:rFonts w:ascii="Times New Roman" w:hAnsi="Times New Roman" w:cs="Times New Roman"/>
                <w:sz w:val="24"/>
                <w:szCs w:val="24"/>
              </w:rPr>
              <w:t>36189,39</w:t>
            </w:r>
          </w:p>
          <w:p w:rsidR="00936A40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36141,44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200985">
              <w:rPr>
                <w:rFonts w:ascii="Times New Roman" w:hAnsi="Times New Roman" w:cs="Times New Roman"/>
                <w:sz w:val="24"/>
                <w:szCs w:val="24"/>
              </w:rPr>
              <w:t>384873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09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721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6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- 80567,95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2025 год –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2026 год –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Итого: 80567,95</w:t>
            </w:r>
          </w:p>
          <w:p w:rsidR="00F97D0A" w:rsidRPr="00F97D0A" w:rsidRDefault="00936A40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7918" w:history="1">
              <w:r w:rsidR="00F97D0A" w:rsidRPr="00F97D0A">
                <w:rPr>
                  <w:rFonts w:ascii="Times New Roman" w:hAnsi="Times New Roman" w:cs="Times New Roman"/>
                  <w:sz w:val="24"/>
                  <w:szCs w:val="24"/>
                </w:rPr>
                <w:t>Подпрограмма 7</w:t>
              </w:r>
            </w:hyperlink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- 387,00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- 362,00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- 400,30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- 449,80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- 618,90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- 468,70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- 468,70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563,20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596,50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– 1280,60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200985">
              <w:rPr>
                <w:rFonts w:ascii="Times New Roman" w:hAnsi="Times New Roman" w:cs="Times New Roman"/>
                <w:sz w:val="24"/>
                <w:szCs w:val="24"/>
              </w:rPr>
              <w:t>1405,20</w:t>
            </w:r>
          </w:p>
          <w:p w:rsid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1405</w:t>
            </w:r>
            <w:r w:rsidR="00F97D0A" w:rsidRPr="00F97D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7D0A" w:rsidRPr="00F97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00985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14005,2</w:t>
            </w:r>
          </w:p>
          <w:p w:rsidR="00F97D0A" w:rsidRPr="00F97D0A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9811,30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Индикаторы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цели и показатели непосредственных результатов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удельный вес численности населения в возрасте 5 - 18 лет, охваченного образованием, в общей численности населения в возрасте 5 - 18 лет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 в возрасте от 5 до 18 лет, охваченных дополнительным образованием, сохранится на уровне 80%;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сохранится 83%;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оля дошкольных образовательных организаций, в которых создана универсальная </w:t>
            </w:r>
            <w:proofErr w:type="spellStart"/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безбарьерная</w:t>
            </w:r>
            <w:proofErr w:type="spellEnd"/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сохранится на уровне - 27,3%;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детей-инвалидов, получающих образовательные услуги в форме дистанционного обучения, от общего количества детей-инвалидов, имеющих потребность в получении образовательной услуги в форме дистанционного обучения, составит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детей-инвалидов в возрасте от 1,5 до 7 лет, охваченных дошкольным образованием, от общей численности детей-инвалидов данного возраста, сохранится на уровне -100%;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образовательных организаций, в которых требуется капитальный ремонт, в общем количестве образовательных организаций, составляет 13,0%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детей, охваченных дополнительными общеобразовательными программами технической и естественно-научной направленности, в общей численности детей от 5 до 18 лет, охваченных дополнительными общеобразовательными программами, 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охват организованными формами отдыха и оздоровления будет на уровне 70% от численности детей школьного возраста;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получающих сертификаты дополнительного образования в рамках системы персонифицированного финансирования в общей численности детей в возрасте от 5 до 18 лет, 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числа образовательных организаций, в которых созданы коллегиальные органы управления с участием общественности (родители, работодатели), в общем числе образовательных организаций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ОО всех типов, участвующих в реализации мероприятий патриотической направленности, в общей численности ОО составит 92%;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обучающихся в ОО всех типов, принимающих участие в мероприятиях, направленных на повышение уровня знаний истории и культуры России, своего города, региона, сохранится на уровне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 и молодежи, вовлеченных в деятельность регионального Всероссийского детско-юношеского военно-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патриотического общественного объединения "</w:t>
            </w:r>
            <w:proofErr w:type="spellStart"/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составит 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допризывной молодежи, повысившей качественный уровень своей подготовки к службе в рядах Вооруженных сил Российской Федерации через участие в областных соревнованиях военно-патриотического профиля, в общем количестве молодежи призывного возраста сохранится на уровне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Удельный вес численности руководителей муниципальных ДОО, ООО и ОДО, прошедших в течение последних трёх лет повышение квалификации или профессиональную переподготовку, в общей численности руководителей ДОО, ООО и ОДО 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сохранится на уровне 98%;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учителей ООО в возрасте до 35 лет в общей численности учителей ООО сохранится на уровне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педагогических работников с высшей квалификационной категорией в общей численности аттестованных педагогических работников составит 28%;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аттестованных педагогических работников в общей численности педагогических работников, подлежащих аттестации,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отношение среднемесячной заработной платы педагогических работников муниципальных ДОО к среднемесячной заработной плате в общем образовании Нижегородской области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отношение средней заработной платы педагогических работников ОБОО к средней заработной плате в Нижегородской области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отношение среднемесячной заработной платы педагогов муниципальных организаций ДОД к среднемесячной заработной плате в Нижегородской области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достигнет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учителей общеобразовательных организаций, вовлеченных в национальную систему профессионального роста педагогических работников, достигнет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обучающихся, занимающихся в первую смену, в общей численности обучающихся общеобразовательных организаций останется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педагогических работников, использующих сервисы федеральной информационно-сервисной платформы цифровой образовательной среды, увеличится до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образовательных организаций, использующих сервисы федеральной информационно-сервисной платформы цифровой 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среды при реализации программ основного общего образования, составит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родителей, сохранится на уровне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детей-сирот и детей, оставшихся без попечения родителей, в общем количестве детей от 0 до 18 лет сократится до 1,0%; 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 дошкольного образования для детей от 1 года до 7 лет достигнет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учащихся в расчете на 1 педагогического работника ОБОО составит 13,1;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обучающихся по программам общего образования, участвующих в олимпиадах и конкурсах различного уровня, составит 1200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профилей, достигнет 600 человек нарастающим итогом;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8 общеобразовательных организациях, расположенных в сельской местности и малых городах, будут созданы и функционировать центры образования естественно-научной и технической направленности;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муниципальных модельных центров дополнительного образования составит 1;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детей, отдохнувших в организациях отдыха и оздоровления детей, достигнет уровня 1120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уровней общего образования, на которых реализуются механизмы внешней оценки качества образования, составит 2 единицы;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параллелей школьных классов, принимающих участие во Всероссийских проверочных работах, достигнет 6 единиц;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населения Тоншаевского муниципального округа, вовлеченного в проведение культурно-патриотических мероприятий и участие в них, составит 12000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специалистов, курирующих вопросы в сфере патриотического воспитания, прошедших курсы повышения квалификации, сохранится на уровне 10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детей в возрасте от 12 до 18 лет, охваченных программами дополнительного образования патриотической направленности (в том числе военно-прикладного характера), увеличится до 285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 общественных объединений военно-патриотической направленности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сохранится на уровне 6 единиц;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разработан и реализуется комплекс мер, направленных на развитие системы гражданского и патриотического воспитания учащихся общеобразовательных организаций, 475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внедрены рабочие программы воспитания обучающихся в общеобразовательных организациях, нарастающим итогом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обеспечено увеличение численности детей и молодежи в возрасте до 35 лет, вовлеченных в социально активную деятельность через 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охвата патриотическими проектами, 3500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созданы условия для развития системы </w:t>
            </w:r>
            <w:proofErr w:type="spellStart"/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межпоколенческого</w:t>
            </w:r>
            <w:proofErr w:type="spellEnd"/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170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учителей в возрасте до 35 лет включительно в ОБОО составит 21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исленность руководящих работников муниципальных ДОО, ООО и ОДО, прошедших в течение последних трёх лет повышение квалификации или профессиональную переподготовку, в общей численности руководителей ДОО, ООО и ОДО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сохранится на уровне 23 человека;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обновление автобусного парка для перевозки учащихся сохранится на уровне 1 единицы;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введенных объектов образования после строительства и реконструкции к 2025 году составит 1 единицу;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численность детей, воспитывающихся в организациях для детей-сирот и детей, оставшихся без попечения родителей, сохранится 0 человек.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ред. от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мая 2024 г. №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439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ПОДПРОГРАММА 1 «РАЗВИТИЕ ОБЩЕГО ОБРАЗОВАНИЯ»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D0A">
        <w:rPr>
          <w:rFonts w:ascii="Times New Roman" w:hAnsi="Times New Roman" w:cs="Times New Roman"/>
          <w:bCs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3" w:name="Par6807"/>
      <w:bookmarkEnd w:id="3"/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3.1.1. ПАСПОРТ ПОДПРОГРАММЫ</w:t>
      </w:r>
    </w:p>
    <w:tbl>
      <w:tblPr>
        <w:tblpPr w:leftFromText="180" w:rightFromText="180" w:vertAnchor="text" w:horzAnchor="page" w:tblpXSpec="center" w:tblpY="95"/>
        <w:tblW w:w="1042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7643"/>
        <w:gridCol w:w="228"/>
      </w:tblGrid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1.Муниципальный заказчик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 муниципального округа</w:t>
            </w:r>
          </w:p>
        </w:tc>
      </w:tr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2.Координатор Подпрограммы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 муниципального округа</w:t>
            </w:r>
          </w:p>
        </w:tc>
      </w:tr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3.Соисполнители Подпрограммы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</w:tr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4.Цель Подпрограммы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</w:t>
            </w:r>
          </w:p>
        </w:tc>
      </w:tr>
      <w:tr w:rsidR="00F97D0A" w:rsidRPr="00F97D0A" w:rsidTr="00936A40">
        <w:trPr>
          <w:gridAfter w:val="1"/>
          <w:wAfter w:w="228" w:type="dxa"/>
          <w:trHeight w:val="4558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5.Задачи Подпрограммы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дошкольного образования как института социального развития;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и модернизация содержания общего образования и образовательной среды для обеспечения готовности выпускников ООО к дальнейшему обучению и деятельности в высокотехнологичной экономике;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поддержка, сохранение и распространение русского языка, улучшение качества преподавания русского языка, литературы, истории, комплексного учебного курса «Основы религиозных культур и светской этики»;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формирование у обучающихся социальных компетенций, гражданских установок, культуры здорового образа жизни;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повышение качества и доступности образования для детей с ОВЗ и детей-инвалидов;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создание механизмов мотивации педагогов к повышению качества работы и непрерывному профессиональному развитию</w:t>
            </w:r>
          </w:p>
        </w:tc>
      </w:tr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6.Этапы и сроки реализации Подпрограммы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действует с 2015 года</w:t>
            </w:r>
          </w:p>
        </w:tc>
      </w:tr>
      <w:tr w:rsidR="00F97D0A" w:rsidRPr="00F97D0A" w:rsidTr="00936A40">
        <w:trPr>
          <w:gridAfter w:val="1"/>
          <w:wAfter w:w="228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7.Объемы бюджетных ассигнований Подпрограммы за счёт средств бюджета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- 241343,51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- 245928,88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- 252238,31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- 251446,44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- 288026,38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- 294069,10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- 308884,99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350132,86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400738,00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200985">
              <w:rPr>
                <w:rFonts w:ascii="Times New Roman" w:hAnsi="Times New Roman" w:cs="Times New Roman"/>
                <w:sz w:val="24"/>
                <w:szCs w:val="24"/>
              </w:rPr>
              <w:t>546418,00</w:t>
            </w:r>
          </w:p>
          <w:p w:rsidR="00F97D0A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603989,54</w:t>
            </w:r>
          </w:p>
          <w:p w:rsid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559531,14</w:t>
            </w:r>
          </w:p>
          <w:p w:rsidR="00200985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494690,47</w:t>
            </w:r>
          </w:p>
          <w:p w:rsidR="00F97D0A" w:rsidRPr="00F97D0A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4837437,63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8.Индикаторы достижения цели и показатели непосредственных результатов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населения в возрасте 5 - 18 лет, охваченного образованием, в общей численности населения в возрасте 5 - 18 лет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сохранится 83%;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</w:t>
            </w: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оля дошкольных образовательных организаций, в которых создана универсальная </w:t>
            </w:r>
            <w:proofErr w:type="spellStart"/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безбарьерная</w:t>
            </w:r>
            <w:proofErr w:type="spellEnd"/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сохранится на уровне – 27,3%;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детей-инвалидов, получающих образовательные услуги в форме дистанционного обучения, от общего количества детей-инвалидов, имеющих потребность в получении образовательной услуги в форме дистанционного обучения, составит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детей-инвалидов в возрасте от 1,5 до 7 лет, охваченных 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дошкольным образованием, от общей численности детей-инвалидов данного возраста, сохранится на уровне -100%;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 доля образовательных организаций, в которых требуется капитальный ремонт, в общем количестве образовательных организаций, составляет 13,0%;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 дошкольного образования для детей от 1 года до 7 лет достигнет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учащихся в расчете на 1 педагогического работника ОБОО составит 13,1;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обучающихся по программам общего образования, участвующих в олимпиадах и конкурсах различного уровня, составит 1200.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профилей, достигнет 600 человека нарастающим итогом;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в 8 общеобразовательных организациях, расположенных в сельской местности и малых городах, будут созданы и функционировать центры образования естественно-научной и технической направленности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ред. от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мая 2024 г. №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439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ПОДПРОГРАММА 2 «РАЗВИТИЕ ДОПОЛНИТЕЛЬНОГО ОБРАЗОВАНИЯ И ВОСПИТАНИЯ ДЕТЕЙ И МОЛОДЕЖИ»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D0A">
        <w:rPr>
          <w:rFonts w:ascii="Times New Roman" w:hAnsi="Times New Roman" w:cs="Times New Roman"/>
          <w:bCs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4" w:name="Par7123"/>
      <w:bookmarkEnd w:id="4"/>
      <w:r w:rsidRPr="00F97D0A">
        <w:rPr>
          <w:rFonts w:ascii="Times New Roman" w:hAnsi="Times New Roman" w:cs="Times New Roman"/>
          <w:b/>
          <w:sz w:val="28"/>
          <w:szCs w:val="28"/>
        </w:rPr>
        <w:t>3.2.1. ПАСПОРТ ПОДПРОГРАММЫ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8"/>
        <w:gridCol w:w="7777"/>
      </w:tblGrid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 Муниципальный заказчик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 Координатор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 Соисполнители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муниципального округа Нижегородской области;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 Цель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для детей в возрасте от 5 до 18 лет доступных и качественных условий для воспитания гармонично развитой и социально ответственной личности путем увеличения охвата детей дополнительным образованием, обновления содержания и методов работы, развития кадрового потенциала и модернизации инфраструктуры системы дополнительного образования детей  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 Задачи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Совершенствование форм и методов воспитания; создание современной инфраструктуры организаций дополнительного образования для формирования у обучающихся социальных компетенций, гражданских установок, культуры здорового образа жизни; совершенствование механизмов мотивации педагогов к повышению качества работы и непрерывному профессиональному развитию.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Формирование эффективной системы выявления и развития талантливых и одаренных детей и молодежи.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Формирование современных управленческих и организационно-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экономических механизмов в системе дополнительного образования детей.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Создание новых мест дополнительного образования детей.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Обеспечение полноценного отдыха и оздоровления детей и молодежи Тоншаевского муниципального округа.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Совершенствование форм и методов социализации детей и молодежи, вовлечение учащейся молодежи в социальную практику.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6. Реализация мероприятий регионального проекта "Успех каждого ребенка" и </w:t>
            </w:r>
            <w:proofErr w:type="spell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регтонального</w:t>
            </w:r>
            <w:proofErr w:type="spell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проекта "Цифровая образовательная среда" национального проекта "Образование"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Этапы и сроки реализации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действует с 2015 года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 Объемы бюджетных ассигнований Подпрограммы за счет средств бюджета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- 15154,07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- 16199,55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- 17799,42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- 19143,26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- 18585,57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- 15862,88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- 18623,06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19903,06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23700,00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200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30972,00</w:t>
            </w:r>
          </w:p>
          <w:p w:rsidR="00F97D0A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30407,16</w:t>
            </w:r>
          </w:p>
          <w:p w:rsid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29351,63</w:t>
            </w:r>
          </w:p>
          <w:p w:rsidR="00200985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29762,84</w:t>
            </w:r>
          </w:p>
          <w:p w:rsidR="00F97D0A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285464,50</w:t>
            </w:r>
          </w:p>
        </w:tc>
      </w:tr>
      <w:tr w:rsidR="00F97D0A" w:rsidRPr="00F97D0A" w:rsidTr="00936A40">
        <w:trPr>
          <w:tblCellSpacing w:w="5" w:type="nil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 Индикаторы достижения цели и показатели непосредственных результатов Подпрограммы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 в возрасте от 5 до 18 лет, охваченных дополнительным образованием, сохранится на уровне 80%;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детей, охваченных дополнительными общеобразовательными программами технической и естественно-научной направленности, в общей численности детей от 5 до 18 лет, охваченных дополнительными общеобразовательными программами, 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охват организованными формами отдыха и оздоровления будет на уровне 70% от численности детей школьного возраста;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 в возрасте от 5 до 18 лет, получающих сертификаты дополнительного образования в рамках системы персонифицированного финансирования в общей численности детей в возрасте от 5 до 18 лет, 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муниципальных модельных центров дополнительного образования составит 1;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детей, отдохнувших в организациях отдыха и оздоровления детей, достигнет уровня 1120 человек  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ред. от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16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мая 2024 г. №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439</w:t>
            </w:r>
            <w:r w:rsidRPr="00F9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ПОДПРОГРАММА 3 «РАЗВИТИЕ СИСТЕМЫ ОЦЕНКИ КАЧЕСТВА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ОБРАЗОВАНИЯ И ИНФОРМАЦИОННОЙ ПРОЗРАЧНОСТИ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СИСТЕМЫ ОБРАЗОВАНИЯ»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D0A">
        <w:rPr>
          <w:rFonts w:ascii="Times New Roman" w:hAnsi="Times New Roman" w:cs="Times New Roman"/>
          <w:bCs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5" w:name="Par7491"/>
      <w:bookmarkEnd w:id="5"/>
      <w:r w:rsidRPr="00F97D0A">
        <w:rPr>
          <w:rFonts w:ascii="Times New Roman" w:hAnsi="Times New Roman" w:cs="Times New Roman"/>
          <w:b/>
          <w:sz w:val="28"/>
          <w:szCs w:val="28"/>
        </w:rPr>
        <w:t>3.3.1. ПАСПОРТ ПОДПРОГРАММЫ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227"/>
      </w:tblGrid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1.Муниципальный заказчик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2.Координатор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3.Соисполнители Подпрограммы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4.Цель Подпрограммы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Обеспечение надежной и актуальной информацией процессов принятия решений участниками образовательных отношений в целях повышения качества образования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5.Задачи Подпрограммы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единого образовательного пространства на основе целостной и сбалансированной системы процедур оценки качества образования, реализуемой на муниципальном уровне;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создание системы мониторингов качества образования;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обеспечение максимально возможной прозрачности и доступности информации о системе образования, о качестве работы отдельных ОО;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привлечение к оценке качества образования внешних заинтересованных лиц и организаций (общественных и профессионально-общественных экспертов и организаций);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участие Тоншаевского муниципального округа в международных исследованиях качества образования;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 участием общественности независимой системы оценки качества работы МОО и введение публичных </w:t>
            </w:r>
            <w:proofErr w:type="spell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рэнкингов</w:t>
            </w:r>
            <w:proofErr w:type="spell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, рейтингов их деятельности.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6.Этапы и сроки реализации Подпрограммы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действует с 2015 года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7.Объемы бюджетных ассигнований Подпрограммы за счет средств бюджета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- 524,60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- 484,30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- 507,10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- 634,00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- 646,00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- 654,70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- 619,30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684,10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766,90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– 975,20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200985">
              <w:rPr>
                <w:rFonts w:ascii="Times New Roman" w:hAnsi="Times New Roman" w:cs="Times New Roman"/>
                <w:sz w:val="24"/>
                <w:szCs w:val="24"/>
              </w:rPr>
              <w:t>1060,50</w:t>
            </w:r>
          </w:p>
          <w:p w:rsid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1060,50</w:t>
            </w:r>
          </w:p>
          <w:p w:rsidR="00200985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1060,50</w:t>
            </w:r>
          </w:p>
          <w:p w:rsidR="00F97D0A" w:rsidRPr="00F97D0A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9677,70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8.Индикаторы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цели и показатели непосредственных результатов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удельный вес числа образовательных организаций, в которых созданы коллегиальные органы управления с участием общественности (родители, работодатели), в общем числе образовательных организаций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число уровней общего образования, на которых реализуются механизмы внешней оценки качества образования, составит 2 единицы;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количество параллелей школьных классов, принимающих участие во Всероссийских проверочных работах, достигнет 6 единиц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ред. от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мая 2024 г. №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439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ПОДПРОГРАММА 4 «ПАТРИОТИЧЕСКОЕ ВОСПИТАНИЕ ГРАЖДАН ТОНШАЕВСКОГО МУНИЦИПАЛЬНОГО ОКРУГА»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7D0A">
        <w:rPr>
          <w:rFonts w:ascii="Times New Roman" w:hAnsi="Times New Roman" w:cs="Times New Roman"/>
          <w:color w:val="000000"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" w:name="Par7612"/>
      <w:bookmarkEnd w:id="6"/>
      <w:r w:rsidRPr="00F97D0A">
        <w:rPr>
          <w:rFonts w:ascii="Times New Roman" w:hAnsi="Times New Roman" w:cs="Times New Roman"/>
          <w:b/>
          <w:color w:val="000000"/>
          <w:sz w:val="28"/>
          <w:szCs w:val="28"/>
        </w:rPr>
        <w:t>3.4.1. ПАСПОРТ ПОДПРОГРАММЫ</w:t>
      </w:r>
    </w:p>
    <w:tbl>
      <w:tblPr>
        <w:tblpPr w:leftFromText="180" w:rightFromText="180" w:vertAnchor="text" w:horzAnchor="margin" w:tblpY="147"/>
        <w:tblW w:w="99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6944"/>
      </w:tblGrid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1.Муниципальный заказчик 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образования, спорта и молодежной политики администрации Тоншаевского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2.Координатор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образования, спорта и молодежной политики администрации Тоншаевского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3.Соисполнители Подпрограммы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отдел культуры, туризма и народно-художественных промыслов администрации Тоншаевского муниципального округа Нижегородской области;</w:t>
            </w:r>
          </w:p>
          <w:p w:rsidR="00F97D0A" w:rsidRPr="00F97D0A" w:rsidRDefault="00F97D0A" w:rsidP="00F9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отделение Министерства внутренних дел России по Тоншаевскому району (по согласованию);</w:t>
            </w:r>
          </w:p>
          <w:p w:rsidR="00F97D0A" w:rsidRPr="00F97D0A" w:rsidRDefault="00F97D0A" w:rsidP="00F9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Военный комиссариат городского округа город Шахунья и Тоншаевского округа (по согласованию);</w:t>
            </w:r>
          </w:p>
          <w:p w:rsidR="00F97D0A" w:rsidRPr="00F97D0A" w:rsidRDefault="00F97D0A" w:rsidP="00F9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Совет ветеранов Тоншаевского муниципального округа (по согласованию);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4.Цель Подпрограммы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повышения гражданской ответственности за судьбу страны, повышение уровня консолидации общества для решения задач обеспечения национальной безопасности и устойчивого развития Российской Федерации, укрепление чувства сопричастности граждан к великой истории и культуре России, обеспечение преемственности поколений россиян, воспитание гражданина, любящего свою Родину и семью, имеющего активную жизненную позицию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5.Задачи Подпрограммы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совершенствование нормативного правового, методического и информационного обеспечения функционирования системы патриотического воспитания граждан в Тоншаевском муниципальном округе;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совершенствование системы подготовки специалистов и повышения их квалификации в области патриотического воспитания;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организация систематической пропаганды патриотических ценностей среди населения Тоншаевского муниципального округа;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совершенствование системы подготовки граждан к службе в рядах Вооруженных Сил Российской Федерации;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координация деятельности общественных объединений в интересах патриотического воспитания;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расширение участия общественных и некоммерческих организаций в патриотическом воспитании граждан;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развития волонтерского движения, являющегося эффективным инструментом гражданско-патриотического воспитания;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активного взаимодействия в сфере патриотического воспитания субъектов и объектов шефской работы, создание условий для повышения ее эффективности в деле укрепления сотрудничества гражданских и военных, повышение престижа военной службы;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информационное обеспечение патриотического воспитания, создание условий для освещения событий и явлений патриотической направленности для СМИ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6.Этапы и сроки реализации Подпрограммы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97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действует с 2015 года.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7.Объемы бюджетных ассигнований Подпрограммы за счет средств бюджета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- 470,89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- 61,99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- 0,00</w:t>
            </w:r>
          </w:p>
          <w:p w:rsid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- 0,00</w:t>
            </w:r>
          </w:p>
          <w:p w:rsidR="00200985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280,00</w:t>
            </w:r>
          </w:p>
          <w:p w:rsidR="00200985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0,00</w:t>
            </w:r>
          </w:p>
          <w:p w:rsidR="00200985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2027 год – 0,00</w:t>
            </w:r>
          </w:p>
          <w:p w:rsidR="00F97D0A" w:rsidRPr="00F97D0A" w:rsidRDefault="00200985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812 </w:t>
            </w:r>
            <w:r w:rsidR="00F97D0A" w:rsidRPr="00F97D0A">
              <w:rPr>
                <w:rFonts w:ascii="Times New Roman" w:hAnsi="Times New Roman" w:cs="Times New Roman"/>
                <w:sz w:val="24"/>
                <w:szCs w:val="24"/>
              </w:rPr>
              <w:t>,88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8.Индикаторы достижения цели и показатели непосредственных результатов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ОО всех типов, участвующих в реализации мероприятий патриотической направленности, в общей численности ОО составит 92%;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обучающихся в ОО всех типов, принимающих участие в мероприятиях, направленных на повышение уровня знаний истории и культуры России, своего города, региона, сохранится на уровне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детей и молодежи, вовлеченных в деятельность регионального Всероссийского детско-юношеского военно-патриотического общественного объединения "</w:t>
            </w:r>
            <w:proofErr w:type="spell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", составит 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- доля допризывной молодежи, повысившей качественный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своей подготовки к службе в рядах Вооруженных сил Российской Федерации через участие в областных соревнованиях военно-патриотического профиля, в общем количестве молодежи призывного возраста сохранится на уровне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численность населения Тоншаевского муниципального округа, вовлеченного в проведение культурно-патриотических мероприятий и участие в них, составит 12000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количество специалистов, курирующих вопросы в сфере патриотического воспитания, прошедших курсы повышения квалификации, сохранится на уровне 10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численность детей в возрасте от 12 до 18 лет, охваченных программами дополнительного образования патриотической направленности (в том числе военно-прикладного характера), увеличится до 285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количество общественных объединений военно-патриотической направленности, сохранится на уровне 6 единиц;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разработан и реализуется комплекс мер, направленных на развитие системы гражданского и патриотического воспитания учащихся общеобразовательных организаций, 475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внедрены рабочие программы воспитания обучающихся в общеобразовательных организациях, нарастающим итогом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проектами, 3500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- созданы условия для развития системы </w:t>
            </w:r>
            <w:proofErr w:type="spellStart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межпоколенческого</w:t>
            </w:r>
            <w:proofErr w:type="spellEnd"/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170 человек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ред. от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мая 2024 г. №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439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tabs>
          <w:tab w:val="left" w:pos="203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ПОДПРОГРАММА 5 «РЕСУРСНОЕ ОБЕСПЕЧЕНИЕ</w:t>
      </w:r>
    </w:p>
    <w:p w:rsidR="00F97D0A" w:rsidRPr="00F97D0A" w:rsidRDefault="00F97D0A" w:rsidP="00F97D0A">
      <w:pPr>
        <w:tabs>
          <w:tab w:val="left" w:pos="203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D0A">
        <w:rPr>
          <w:rFonts w:ascii="Times New Roman" w:hAnsi="Times New Roman" w:cs="Times New Roman"/>
          <w:b/>
          <w:bCs/>
          <w:sz w:val="28"/>
          <w:szCs w:val="28"/>
        </w:rPr>
        <w:t>СИСТЕМЫ ОБРАЗОВАНИЯ»</w:t>
      </w:r>
    </w:p>
    <w:p w:rsidR="00F97D0A" w:rsidRPr="00F97D0A" w:rsidRDefault="00F97D0A" w:rsidP="00F97D0A">
      <w:pPr>
        <w:tabs>
          <w:tab w:val="left" w:pos="2033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7D0A">
        <w:rPr>
          <w:rFonts w:ascii="Times New Roman" w:hAnsi="Times New Roman" w:cs="Times New Roman"/>
          <w:bCs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tabs>
          <w:tab w:val="left" w:pos="2033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3.5.1. ПАСПОРТ ПОДПРОГРАММЫ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78"/>
        <w:gridCol w:w="7075"/>
      </w:tblGrid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1.Муниципальный заказчик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2.Координатор Программы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3.Соисполнители Подпрограммы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4.Цель Подпрограммы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и организационно-экономических механизмов, обеспечивающих доступность качественного образования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5.Задачи Подпрограммы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системы работы с педагогическими кадрами.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 Ресурсное обеспечение сферы образования.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 Укрепление материально-технической базы ОО.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6.Этапы и сроки реализации Подпрограммы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действует с 2015 года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D0A">
              <w:rPr>
                <w:sz w:val="24"/>
                <w:szCs w:val="24"/>
              </w:rPr>
              <w:t>7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.Объемы бюджетных ассигнований Подпрограммы за счёт средств бюджета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- 23983,15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- 29435,43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- 27357,31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- 21117,32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- 28643,00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- 34260,67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- 24035,18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24967,36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2023 год – 29548,90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2024 год – 32960,10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2025 год – 36233,86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2026 год – 36189,39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2027 год – 36141,44</w:t>
            </w:r>
          </w:p>
          <w:p w:rsidR="00F97D0A" w:rsidRPr="00F97D0A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Итого: 384873,11</w:t>
            </w:r>
          </w:p>
        </w:tc>
      </w:tr>
      <w:tr w:rsidR="00F97D0A" w:rsidRPr="00F97D0A" w:rsidTr="00936A40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8.Индикаторы достижения цели и показатели непосредственных результатов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руководителей муниципальных ДОО, ООО и ОДО, прошедших в течение последних трёх лет повышение квалификации или профессиональную переподготовку, в общей численности руководителей ДОО, ООО и ОДО сохранится на уровне 98%;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учителей ООО в возрасте до 35 лет в общей численности учителей ООО сохранится на уровне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педагогических работников с высшей квалификационной категорией в общей численности аттестованных педагогических работников составит 28%;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аттестованных педагогических работников в общей численности педагогических работников, подлежащих аттестации,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педагогических работников муниципальных ДОО к среднемесячной заработной плате в общем образовании Нижегородской области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отношение средней заработной платы педагогических работников ОБОО к средней заработной плате в Нижегородской области сохранится на уровне 100% в;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педагогов муниципальных организаций ДОД к среднемесячной заработной плате в Нижегородской области сохранится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достигнет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- доля учителей общеобразовательных организаций, вовлеченных в национальную систему профессионального роста педагогических 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достигнет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обучающихся, занимающихся в первую смену, в общей численности обучающихся общеобразовательных организаций останется на уровне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составит 20%;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педагогических работников, использующих сервисы федеральной информационно-сервисной платформы цифровой образовательной среды, увеличится до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составит 50%;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Показатели непосредственных результатов: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численность учителей в возрасте до 35 лет включительно в ОБОО составит 21 человек;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численность руководящих работников муниципальных ДОО, ООО и ОДО, прошедших в течение последних трёх лет повышение квалификации или профессиональную переподготовку, в общей численности руководителей ДОО, ООО и ОДО, сохранится на уровне 23 человека;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обновление автобусного парка для перевозки учащихся сохранится на уровне 1 единицы;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количество введенных объектов образования после строительства и реконструкции к 2025 году составит 1 единицу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ред. от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 мая 2024 г. №</w:t>
            </w:r>
            <w:r w:rsidRPr="00F97D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439</w:t>
            </w: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ПОДПРОГРАММА 6 «ЛИКВИДАЦИЯ ОЧЕРЕДНОСТИ В ДОШКОЛЬНЫХ ОБРАЗОВАТЕЛЬНЫХ ОРГАНИЗАЦИЯХ НИЖЕГОРОДСКОЙ ОБЛАСТИ ДЕТЕЙ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В ВОЗРАСТЕ 3 - 7 ЛЕТ В 2015 ГОДУ И НА ПЕРИОД ДО 2023 ГОДА»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0A">
        <w:rPr>
          <w:rFonts w:ascii="Times New Roman" w:hAnsi="Times New Roman" w:cs="Times New Roman"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7" w:name="Par8103"/>
      <w:bookmarkEnd w:id="7"/>
      <w:r w:rsidRPr="00F97D0A">
        <w:rPr>
          <w:rFonts w:ascii="Times New Roman" w:hAnsi="Times New Roman" w:cs="Times New Roman"/>
          <w:b/>
          <w:sz w:val="28"/>
          <w:szCs w:val="28"/>
        </w:rPr>
        <w:t>3.6.1. ПАСПОРТ ПОДПРОГРАММЫ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7062"/>
      </w:tblGrid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1. Муниципальный заказчик 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 Координатор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 Соисполнители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Тоншаевского муниципального округа Нижегородской области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Отдел архитектуры и строительства администрации Тоншаевского муниципального округа Нижегородской области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 Цель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прав граждан на получение общедоступного дошкольного образования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Задачи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материальной базы дошкольных образовательных организаций Тоншаевского муниципального округа 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6. Этапы и сроки реализации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2015 - 2023 годы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 Объемы бюджетных ассигнований Подпрограммы за счет средств бюджета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- 80567,95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2024 год - 0,00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Итого: 80567,95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 Индикаторы достижения цели и показатели непосредственных результатов Подпрограммы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доступность дошкольного образования (отношение численности детей 3 - 7 лет, которым предоставлена возможность получать услуги дошкольного образования, к численности детей в возрасте 3 - 7 лет, скорректированной на численность детей в возрасте 5 - 7 лет, обучающихся в ДОО) останется 100%;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доступность дошкольного образования для детей в возрасте от 1,5 до 3 лет достигнет 100% в 2024 году.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(ред. от 30 января 2023 г. №91).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ПОДПРОГРАММА 7 «СОЦИАЛЬНО-ПРАВОВАЯ ЗАЩИТА ДЕТЕЙ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В ТОНШАЕВСКОМ МУНИЦИПАЛЬНОМ ОКРУГЕ»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0A">
        <w:rPr>
          <w:rFonts w:ascii="Times New Roman" w:hAnsi="Times New Roman" w:cs="Times New Roman"/>
          <w:sz w:val="28"/>
          <w:szCs w:val="28"/>
        </w:rPr>
        <w:t>(далее - Подпрограмма)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F97D0A">
        <w:rPr>
          <w:rFonts w:ascii="Times New Roman" w:hAnsi="Times New Roman" w:cs="Times New Roman"/>
          <w:b/>
          <w:sz w:val="28"/>
          <w:szCs w:val="28"/>
        </w:rPr>
        <w:t>3.7.1. ПАСПОРТ ПОДПРОГРАММЫ</w:t>
      </w:r>
    </w:p>
    <w:p w:rsidR="00F97D0A" w:rsidRPr="00F97D0A" w:rsidRDefault="00F97D0A" w:rsidP="00F97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9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7050"/>
      </w:tblGrid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1. Муниципальный заказчик 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2. Координатор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3. Соисполнители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4. Цель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социально-правовой защиты детей на территории Тоншаевского муниципального округа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5. Задачи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системы социально-правовой защиты детей в Тоншаевском муниципальном округе;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создание условий для личностного развития детей-сирот и детей, оставшихся без попечения родителей, улучшения качества их жизни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Этапы и сроки реализации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Подпрограмма действует с 2015 года</w:t>
            </w:r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7. Объемы бюджетных ассигнований Подпрограммы за счет средств бюджета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за счет средств бюджета в ценах соответствующих лет по годам в тыс. руб. составляет: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2015 год - 387,00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2016 год - 362,00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2017 год - 400,30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2018 год - 449,80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2019 год - 618,90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2020 год - 468,70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2021 год - 468,70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2022 год – 563,20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2023 год – 596,50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2024 год – 1280,60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2025 год – 1405,20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2026 год – 1405,20</w:t>
            </w:r>
          </w:p>
          <w:p w:rsidR="00200985" w:rsidRPr="00200985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2027 год – 1405,20</w:t>
            </w:r>
          </w:p>
          <w:p w:rsidR="00F97D0A" w:rsidRPr="00F97D0A" w:rsidRDefault="00200985" w:rsidP="002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85">
              <w:rPr>
                <w:rFonts w:ascii="Times New Roman" w:hAnsi="Times New Roman" w:cs="Times New Roman"/>
                <w:sz w:val="24"/>
                <w:szCs w:val="24"/>
              </w:rPr>
              <w:t>Итого: 9811,30</w:t>
            </w:r>
            <w:bookmarkStart w:id="8" w:name="_GoBack"/>
            <w:bookmarkEnd w:id="8"/>
          </w:p>
        </w:tc>
      </w:tr>
      <w:tr w:rsidR="00F97D0A" w:rsidRPr="00F97D0A" w:rsidTr="00936A40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8. Индикаторы достижения цели и показатели непосредственных результатов Подпрограммы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родителей, увеличится до 95%;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 общем количестве детей от 0 до 18 лет сократится до 1%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непосредственных результатов: </w:t>
            </w:r>
          </w:p>
          <w:p w:rsidR="00F97D0A" w:rsidRPr="00F97D0A" w:rsidRDefault="00F97D0A" w:rsidP="00F97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D0A">
              <w:rPr>
                <w:rFonts w:ascii="Times New Roman" w:hAnsi="Times New Roman" w:cs="Times New Roman"/>
                <w:sz w:val="24"/>
                <w:szCs w:val="24"/>
              </w:rPr>
              <w:t>- сокращение численности детей, воспитывающихся в учреждениях для детей-сирот и детей, оставшихся без попечения родителей до 0.</w:t>
            </w:r>
          </w:p>
        </w:tc>
      </w:tr>
    </w:tbl>
    <w:p w:rsidR="00F97D0A" w:rsidRDefault="00F97D0A" w:rsidP="00500C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F97D0A" w:rsidSect="00500CD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4D83"/>
    <w:multiLevelType w:val="hybridMultilevel"/>
    <w:tmpl w:val="9EE675E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D7AE8"/>
    <w:multiLevelType w:val="hybridMultilevel"/>
    <w:tmpl w:val="E684F5CE"/>
    <w:lvl w:ilvl="0" w:tplc="2668D6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5538BB"/>
    <w:multiLevelType w:val="hybridMultilevel"/>
    <w:tmpl w:val="2DB83364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71579"/>
    <w:multiLevelType w:val="multilevel"/>
    <w:tmpl w:val="523E7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125D3AB4"/>
    <w:multiLevelType w:val="multilevel"/>
    <w:tmpl w:val="A7F4E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CB55A7"/>
    <w:multiLevelType w:val="hybridMultilevel"/>
    <w:tmpl w:val="5CDCFBD8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5C4B9D"/>
    <w:multiLevelType w:val="hybridMultilevel"/>
    <w:tmpl w:val="04045760"/>
    <w:lvl w:ilvl="0" w:tplc="E02C8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83912"/>
    <w:multiLevelType w:val="hybridMultilevel"/>
    <w:tmpl w:val="5900DBF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B0A92"/>
    <w:multiLevelType w:val="hybridMultilevel"/>
    <w:tmpl w:val="5F5EFB00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F964A5"/>
    <w:multiLevelType w:val="hybridMultilevel"/>
    <w:tmpl w:val="D1E285E6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007A0D"/>
    <w:multiLevelType w:val="hybridMultilevel"/>
    <w:tmpl w:val="27149D16"/>
    <w:lvl w:ilvl="0" w:tplc="71B0FA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462F27"/>
    <w:multiLevelType w:val="hybridMultilevel"/>
    <w:tmpl w:val="41B4144C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55546"/>
    <w:multiLevelType w:val="hybridMultilevel"/>
    <w:tmpl w:val="60AABA16"/>
    <w:lvl w:ilvl="0" w:tplc="0419000F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 w15:restartNumberingAfterBreak="0">
    <w:nsid w:val="32EE0D8C"/>
    <w:multiLevelType w:val="hybridMultilevel"/>
    <w:tmpl w:val="E7CC14B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B1F0F"/>
    <w:multiLevelType w:val="hybridMultilevel"/>
    <w:tmpl w:val="6310E4D4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912A3B"/>
    <w:multiLevelType w:val="hybridMultilevel"/>
    <w:tmpl w:val="C48A5AA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E4950"/>
    <w:multiLevelType w:val="hybridMultilevel"/>
    <w:tmpl w:val="D6F05E6C"/>
    <w:lvl w:ilvl="0" w:tplc="28F21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5F119E"/>
    <w:multiLevelType w:val="hybridMultilevel"/>
    <w:tmpl w:val="37008C50"/>
    <w:lvl w:ilvl="0" w:tplc="070210B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BE46C3A"/>
    <w:multiLevelType w:val="hybridMultilevel"/>
    <w:tmpl w:val="558C49EA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BF8520F"/>
    <w:multiLevelType w:val="hybridMultilevel"/>
    <w:tmpl w:val="B01828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CC06404"/>
    <w:multiLevelType w:val="hybridMultilevel"/>
    <w:tmpl w:val="905450C6"/>
    <w:lvl w:ilvl="0" w:tplc="0419000F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1" w15:restartNumberingAfterBreak="0">
    <w:nsid w:val="3D231702"/>
    <w:multiLevelType w:val="hybridMultilevel"/>
    <w:tmpl w:val="A71C7CC6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E7A102E"/>
    <w:multiLevelType w:val="hybridMultilevel"/>
    <w:tmpl w:val="BDF875B4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4E6B5D"/>
    <w:multiLevelType w:val="hybridMultilevel"/>
    <w:tmpl w:val="4C70C21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D1706"/>
    <w:multiLevelType w:val="hybridMultilevel"/>
    <w:tmpl w:val="D8C45C14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4AC8198C"/>
    <w:multiLevelType w:val="hybridMultilevel"/>
    <w:tmpl w:val="729425CC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14F07"/>
    <w:multiLevelType w:val="hybridMultilevel"/>
    <w:tmpl w:val="F8462B40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4D6C7E05"/>
    <w:multiLevelType w:val="hybridMultilevel"/>
    <w:tmpl w:val="C6041958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9F1B61"/>
    <w:multiLevelType w:val="hybridMultilevel"/>
    <w:tmpl w:val="432C6B54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400ACD"/>
    <w:multiLevelType w:val="hybridMultilevel"/>
    <w:tmpl w:val="197C1086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475402"/>
    <w:multiLevelType w:val="hybridMultilevel"/>
    <w:tmpl w:val="61BAA86E"/>
    <w:lvl w:ilvl="0" w:tplc="A0A2EC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164BD8"/>
    <w:multiLevelType w:val="multilevel"/>
    <w:tmpl w:val="D24AE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A8B5C6D"/>
    <w:multiLevelType w:val="hybridMultilevel"/>
    <w:tmpl w:val="192278E6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4B64AE"/>
    <w:multiLevelType w:val="hybridMultilevel"/>
    <w:tmpl w:val="8918FDA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8A358A"/>
    <w:multiLevelType w:val="hybridMultilevel"/>
    <w:tmpl w:val="5E8203BA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A92CBE"/>
    <w:multiLevelType w:val="hybridMultilevel"/>
    <w:tmpl w:val="78ACDB6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AE74AB"/>
    <w:multiLevelType w:val="hybridMultilevel"/>
    <w:tmpl w:val="282C833A"/>
    <w:lvl w:ilvl="0" w:tplc="B0DEC49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4D80F9B"/>
    <w:multiLevelType w:val="hybridMultilevel"/>
    <w:tmpl w:val="ABF8F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A27A5"/>
    <w:multiLevelType w:val="multilevel"/>
    <w:tmpl w:val="25187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0D5A17"/>
    <w:multiLevelType w:val="hybridMultilevel"/>
    <w:tmpl w:val="D9CE30C0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A0C2A67"/>
    <w:multiLevelType w:val="hybridMultilevel"/>
    <w:tmpl w:val="FB5C87CA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6F0114"/>
    <w:multiLevelType w:val="hybridMultilevel"/>
    <w:tmpl w:val="287438DC"/>
    <w:lvl w:ilvl="0" w:tplc="E02C8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F6519"/>
    <w:multiLevelType w:val="hybridMultilevel"/>
    <w:tmpl w:val="8D3C9C3E"/>
    <w:lvl w:ilvl="0" w:tplc="E02C8F0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1DF3871"/>
    <w:multiLevelType w:val="hybridMultilevel"/>
    <w:tmpl w:val="F228B0C2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7262DA"/>
    <w:multiLevelType w:val="hybridMultilevel"/>
    <w:tmpl w:val="206AD14A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E53479"/>
    <w:multiLevelType w:val="hybridMultilevel"/>
    <w:tmpl w:val="A1CC79AC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954C91"/>
    <w:multiLevelType w:val="hybridMultilevel"/>
    <w:tmpl w:val="493C1664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14300"/>
    <w:multiLevelType w:val="hybridMultilevel"/>
    <w:tmpl w:val="1A6ADD88"/>
    <w:lvl w:ilvl="0" w:tplc="E02C8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EE16E5"/>
    <w:multiLevelType w:val="hybridMultilevel"/>
    <w:tmpl w:val="25A47984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26"/>
  </w:num>
  <w:num w:numId="5">
    <w:abstractNumId w:val="24"/>
  </w:num>
  <w:num w:numId="6">
    <w:abstractNumId w:val="36"/>
  </w:num>
  <w:num w:numId="7">
    <w:abstractNumId w:val="2"/>
  </w:num>
  <w:num w:numId="8">
    <w:abstractNumId w:val="25"/>
  </w:num>
  <w:num w:numId="9">
    <w:abstractNumId w:val="35"/>
  </w:num>
  <w:num w:numId="10">
    <w:abstractNumId w:val="27"/>
  </w:num>
  <w:num w:numId="11">
    <w:abstractNumId w:val="28"/>
  </w:num>
  <w:num w:numId="12">
    <w:abstractNumId w:val="42"/>
  </w:num>
  <w:num w:numId="13">
    <w:abstractNumId w:val="0"/>
  </w:num>
  <w:num w:numId="14">
    <w:abstractNumId w:val="13"/>
  </w:num>
  <w:num w:numId="15">
    <w:abstractNumId w:val="39"/>
  </w:num>
  <w:num w:numId="16">
    <w:abstractNumId w:val="45"/>
  </w:num>
  <w:num w:numId="17">
    <w:abstractNumId w:val="9"/>
  </w:num>
  <w:num w:numId="18">
    <w:abstractNumId w:val="32"/>
  </w:num>
  <w:num w:numId="19">
    <w:abstractNumId w:val="22"/>
  </w:num>
  <w:num w:numId="20">
    <w:abstractNumId w:val="46"/>
  </w:num>
  <w:num w:numId="21">
    <w:abstractNumId w:val="44"/>
  </w:num>
  <w:num w:numId="22">
    <w:abstractNumId w:val="34"/>
  </w:num>
  <w:num w:numId="23">
    <w:abstractNumId w:val="15"/>
  </w:num>
  <w:num w:numId="24">
    <w:abstractNumId w:val="41"/>
  </w:num>
  <w:num w:numId="25">
    <w:abstractNumId w:val="29"/>
  </w:num>
  <w:num w:numId="26">
    <w:abstractNumId w:val="33"/>
  </w:num>
  <w:num w:numId="27">
    <w:abstractNumId w:val="5"/>
  </w:num>
  <w:num w:numId="28">
    <w:abstractNumId w:val="14"/>
  </w:num>
  <w:num w:numId="29">
    <w:abstractNumId w:val="21"/>
  </w:num>
  <w:num w:numId="30">
    <w:abstractNumId w:val="43"/>
  </w:num>
  <w:num w:numId="31">
    <w:abstractNumId w:val="11"/>
  </w:num>
  <w:num w:numId="32">
    <w:abstractNumId w:val="8"/>
  </w:num>
  <w:num w:numId="33">
    <w:abstractNumId w:val="40"/>
  </w:num>
  <w:num w:numId="34">
    <w:abstractNumId w:val="47"/>
  </w:num>
  <w:num w:numId="35">
    <w:abstractNumId w:val="7"/>
  </w:num>
  <w:num w:numId="36">
    <w:abstractNumId w:val="23"/>
  </w:num>
  <w:num w:numId="37">
    <w:abstractNumId w:val="4"/>
  </w:num>
  <w:num w:numId="38">
    <w:abstractNumId w:val="38"/>
  </w:num>
  <w:num w:numId="39">
    <w:abstractNumId w:val="31"/>
  </w:num>
  <w:num w:numId="40">
    <w:abstractNumId w:val="37"/>
  </w:num>
  <w:num w:numId="41">
    <w:abstractNumId w:val="19"/>
  </w:num>
  <w:num w:numId="42">
    <w:abstractNumId w:val="48"/>
  </w:num>
  <w:num w:numId="43">
    <w:abstractNumId w:val="12"/>
  </w:num>
  <w:num w:numId="44">
    <w:abstractNumId w:val="20"/>
  </w:num>
  <w:num w:numId="45">
    <w:abstractNumId w:val="3"/>
  </w:num>
  <w:num w:numId="46">
    <w:abstractNumId w:val="16"/>
  </w:num>
  <w:num w:numId="47">
    <w:abstractNumId w:val="1"/>
  </w:num>
  <w:num w:numId="48">
    <w:abstractNumId w:val="30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19E"/>
    <w:rsid w:val="000A119E"/>
    <w:rsid w:val="00200985"/>
    <w:rsid w:val="00252161"/>
    <w:rsid w:val="00500CD2"/>
    <w:rsid w:val="00936A40"/>
    <w:rsid w:val="00D51012"/>
    <w:rsid w:val="00F71388"/>
    <w:rsid w:val="00F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B911"/>
  <w15:chartTrackingRefBased/>
  <w15:docId w15:val="{BEDB1B3E-358E-4906-9CB8-9AABD0C0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CD2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0A119E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0A119E"/>
    <w:pPr>
      <w:keepNext/>
      <w:spacing w:after="0" w:line="240" w:lineRule="auto"/>
      <w:outlineLvl w:val="1"/>
    </w:pPr>
    <w:rPr>
      <w:rFonts w:ascii="Times New Roman" w:hAnsi="Times New Roman" w:cs="Times New Roman"/>
      <w:sz w:val="26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0A119E"/>
    <w:pPr>
      <w:keepNext/>
      <w:spacing w:after="0" w:line="240" w:lineRule="auto"/>
      <w:jc w:val="both"/>
      <w:outlineLvl w:val="2"/>
    </w:pPr>
    <w:rPr>
      <w:rFonts w:ascii="Times New Roman" w:hAnsi="Times New Roman" w:cs="Times New Roman"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119E"/>
    <w:pPr>
      <w:keepNext/>
      <w:spacing w:after="0" w:line="240" w:lineRule="auto"/>
      <w:ind w:left="851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119E"/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0A119E"/>
    <w:rPr>
      <w:rFonts w:ascii="Times New Roman" w:eastAsia="Calibri" w:hAnsi="Times New Roman" w:cs="Times New Roman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0A119E"/>
    <w:rPr>
      <w:rFonts w:ascii="Times New Roman" w:eastAsia="Calibri" w:hAnsi="Times New Roman" w:cs="Times New Roman"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A11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A119E"/>
  </w:style>
  <w:style w:type="paragraph" w:customStyle="1" w:styleId="ConsPlusNormal">
    <w:name w:val="ConsPlusNormal"/>
    <w:rsid w:val="000A11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A11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A11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A11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4">
    <w:name w:val="Style4"/>
    <w:basedOn w:val="a"/>
    <w:uiPriority w:val="99"/>
    <w:rsid w:val="000A119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uiPriority w:val="99"/>
    <w:rsid w:val="000A119E"/>
    <w:rPr>
      <w:rFonts w:ascii="Times New Roman" w:hAnsi="Times New Roman" w:cs="Times New Roman"/>
      <w:color w:val="000000"/>
      <w:sz w:val="20"/>
      <w:szCs w:val="20"/>
    </w:rPr>
  </w:style>
  <w:style w:type="paragraph" w:styleId="a3">
    <w:name w:val="List Paragraph"/>
    <w:aliases w:val="мой"/>
    <w:basedOn w:val="a"/>
    <w:link w:val="a4"/>
    <w:uiPriority w:val="99"/>
    <w:qFormat/>
    <w:rsid w:val="000A119E"/>
    <w:pPr>
      <w:ind w:left="720"/>
    </w:pPr>
    <w:rPr>
      <w:rFonts w:cs="Times New Roman"/>
      <w:lang w:val="x-none"/>
    </w:rPr>
  </w:style>
  <w:style w:type="character" w:customStyle="1" w:styleId="apple-converted-space">
    <w:name w:val="apple-converted-space"/>
    <w:uiPriority w:val="99"/>
    <w:rsid w:val="000A119E"/>
    <w:rPr>
      <w:rFonts w:cs="Times New Roman"/>
    </w:rPr>
  </w:style>
  <w:style w:type="paragraph" w:styleId="a5">
    <w:name w:val="Normal (Web)"/>
    <w:basedOn w:val="a"/>
    <w:rsid w:val="000A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0A119E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0A119E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customStyle="1" w:styleId="12">
    <w:name w:val="Обычный1"/>
    <w:uiPriority w:val="99"/>
    <w:rsid w:val="000A119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 Знак Знак Знак"/>
    <w:basedOn w:val="a"/>
    <w:uiPriority w:val="99"/>
    <w:rsid w:val="000A119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Title"/>
    <w:aliases w:val="Название"/>
    <w:basedOn w:val="a"/>
    <w:link w:val="13"/>
    <w:qFormat/>
    <w:rsid w:val="000A119E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aa">
    <w:name w:val="Заголовок Знак"/>
    <w:basedOn w:val="a0"/>
    <w:rsid w:val="000A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Заголовок Знак1"/>
    <w:aliases w:val="Название Знак"/>
    <w:link w:val="a9"/>
    <w:locked/>
    <w:rsid w:val="000A119E"/>
    <w:rPr>
      <w:rFonts w:ascii="Times New Roman" w:eastAsia="Calibri" w:hAnsi="Times New Roman" w:cs="Times New Roman"/>
      <w:b/>
      <w:sz w:val="28"/>
      <w:szCs w:val="20"/>
      <w:lang w:val="x-none" w:eastAsia="x-none"/>
    </w:rPr>
  </w:style>
  <w:style w:type="paragraph" w:styleId="ab">
    <w:name w:val="Subtitle"/>
    <w:basedOn w:val="a"/>
    <w:link w:val="ac"/>
    <w:uiPriority w:val="99"/>
    <w:qFormat/>
    <w:rsid w:val="000A119E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ac">
    <w:name w:val="Подзаголовок Знак"/>
    <w:basedOn w:val="a0"/>
    <w:link w:val="ab"/>
    <w:uiPriority w:val="99"/>
    <w:rsid w:val="000A119E"/>
    <w:rPr>
      <w:rFonts w:ascii="Times New Roman" w:eastAsia="Calibri" w:hAnsi="Times New Roman" w:cs="Times New Roman"/>
      <w:b/>
      <w:sz w:val="28"/>
      <w:szCs w:val="20"/>
      <w:lang w:val="x-none" w:eastAsia="x-none"/>
    </w:rPr>
  </w:style>
  <w:style w:type="paragraph" w:styleId="ad">
    <w:name w:val="Block Text"/>
    <w:basedOn w:val="a"/>
    <w:uiPriority w:val="99"/>
    <w:rsid w:val="000A119E"/>
    <w:pPr>
      <w:spacing w:after="0" w:line="240" w:lineRule="auto"/>
      <w:ind w:left="1080" w:right="453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_"/>
    <w:link w:val="21"/>
    <w:uiPriority w:val="99"/>
    <w:locked/>
    <w:rsid w:val="000A119E"/>
    <w:rPr>
      <w:sz w:val="27"/>
      <w:shd w:val="clear" w:color="auto" w:fill="FFFFFF"/>
    </w:rPr>
  </w:style>
  <w:style w:type="paragraph" w:customStyle="1" w:styleId="21">
    <w:name w:val="Основной текст2"/>
    <w:basedOn w:val="a"/>
    <w:link w:val="ae"/>
    <w:uiPriority w:val="99"/>
    <w:rsid w:val="000A119E"/>
    <w:pPr>
      <w:shd w:val="clear" w:color="auto" w:fill="FFFFFF"/>
      <w:spacing w:before="300" w:after="0" w:line="320" w:lineRule="exact"/>
    </w:pPr>
    <w:rPr>
      <w:rFonts w:asciiTheme="minorHAnsi" w:eastAsiaTheme="minorHAnsi" w:hAnsiTheme="minorHAnsi" w:cstheme="minorBidi"/>
      <w:sz w:val="27"/>
    </w:rPr>
  </w:style>
  <w:style w:type="character" w:customStyle="1" w:styleId="af">
    <w:name w:val="Основной текст + Полужирный"/>
    <w:uiPriority w:val="99"/>
    <w:rsid w:val="000A119E"/>
    <w:rPr>
      <w:rFonts w:ascii="Times New Roman" w:hAnsi="Times New Roman"/>
      <w:b/>
      <w:spacing w:val="0"/>
      <w:sz w:val="27"/>
    </w:rPr>
  </w:style>
  <w:style w:type="character" w:customStyle="1" w:styleId="22">
    <w:name w:val="Основной текст с отступом 2 Знак"/>
    <w:link w:val="23"/>
    <w:uiPriority w:val="99"/>
    <w:locked/>
    <w:rsid w:val="000A119E"/>
    <w:rPr>
      <w:rFonts w:ascii="Times New Roman" w:hAnsi="Times New Roman" w:cs="Times New Roman"/>
    </w:rPr>
  </w:style>
  <w:style w:type="paragraph" w:styleId="23">
    <w:name w:val="Body Text Indent 2"/>
    <w:basedOn w:val="a"/>
    <w:link w:val="22"/>
    <w:uiPriority w:val="99"/>
    <w:rsid w:val="000A119E"/>
    <w:pPr>
      <w:spacing w:after="120" w:line="480" w:lineRule="auto"/>
      <w:ind w:left="283"/>
    </w:pPr>
    <w:rPr>
      <w:rFonts w:ascii="Times New Roman" w:eastAsiaTheme="minorHAnsi" w:hAnsi="Times New Roman" w:cs="Times New Roman"/>
    </w:rPr>
  </w:style>
  <w:style w:type="character" w:customStyle="1" w:styleId="210">
    <w:name w:val="Основной текст с отступом 2 Знак1"/>
    <w:basedOn w:val="a0"/>
    <w:uiPriority w:val="99"/>
    <w:semiHidden/>
    <w:rsid w:val="000A119E"/>
  </w:style>
  <w:style w:type="character" w:customStyle="1" w:styleId="BodyTextIndent2Char1">
    <w:name w:val="Body Text Indent 2 Char1"/>
    <w:uiPriority w:val="99"/>
    <w:semiHidden/>
    <w:locked/>
    <w:rsid w:val="000A119E"/>
    <w:rPr>
      <w:rFonts w:cs="Calibri"/>
      <w:lang w:eastAsia="en-US"/>
    </w:rPr>
  </w:style>
  <w:style w:type="character" w:customStyle="1" w:styleId="af0">
    <w:name w:val="Основной текст Знак"/>
    <w:link w:val="af1"/>
    <w:uiPriority w:val="99"/>
    <w:locked/>
    <w:rsid w:val="000A119E"/>
    <w:rPr>
      <w:rFonts w:ascii="Times New Roman" w:hAnsi="Times New Roman" w:cs="Times New Roman"/>
    </w:rPr>
  </w:style>
  <w:style w:type="paragraph" w:styleId="af1">
    <w:name w:val="Body Text"/>
    <w:basedOn w:val="a"/>
    <w:link w:val="af0"/>
    <w:uiPriority w:val="99"/>
    <w:rsid w:val="000A119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Theme="minorHAnsi" w:hAnsi="Times New Roman" w:cs="Times New Roman"/>
    </w:rPr>
  </w:style>
  <w:style w:type="character" w:customStyle="1" w:styleId="14">
    <w:name w:val="Основной текст Знак1"/>
    <w:basedOn w:val="a0"/>
    <w:uiPriority w:val="99"/>
    <w:semiHidden/>
    <w:rsid w:val="000A119E"/>
  </w:style>
  <w:style w:type="character" w:customStyle="1" w:styleId="BodyTextChar1">
    <w:name w:val="Body Text Char1"/>
    <w:uiPriority w:val="99"/>
    <w:semiHidden/>
    <w:locked/>
    <w:rsid w:val="000A119E"/>
    <w:rPr>
      <w:rFonts w:cs="Calibri"/>
      <w:lang w:eastAsia="en-US"/>
    </w:rPr>
  </w:style>
  <w:style w:type="character" w:customStyle="1" w:styleId="15">
    <w:name w:val="Знак Знак1"/>
    <w:uiPriority w:val="99"/>
    <w:rsid w:val="000A119E"/>
    <w:rPr>
      <w:b/>
      <w:sz w:val="32"/>
      <w:lang w:val="ru-RU" w:eastAsia="ru-RU"/>
    </w:rPr>
  </w:style>
  <w:style w:type="character" w:customStyle="1" w:styleId="af2">
    <w:name w:val="Нижний колонтитул Знак"/>
    <w:link w:val="af3"/>
    <w:uiPriority w:val="99"/>
    <w:locked/>
    <w:rsid w:val="000A119E"/>
    <w:rPr>
      <w:sz w:val="24"/>
    </w:rPr>
  </w:style>
  <w:style w:type="paragraph" w:styleId="af3">
    <w:name w:val="footer"/>
    <w:basedOn w:val="a"/>
    <w:link w:val="af2"/>
    <w:uiPriority w:val="99"/>
    <w:rsid w:val="000A119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</w:rPr>
  </w:style>
  <w:style w:type="character" w:customStyle="1" w:styleId="16">
    <w:name w:val="Нижний колонтитул Знак1"/>
    <w:basedOn w:val="a0"/>
    <w:uiPriority w:val="99"/>
    <w:rsid w:val="000A119E"/>
  </w:style>
  <w:style w:type="character" w:customStyle="1" w:styleId="FooterChar1">
    <w:name w:val="Footer Char1"/>
    <w:uiPriority w:val="99"/>
    <w:semiHidden/>
    <w:locked/>
    <w:rsid w:val="000A119E"/>
    <w:rPr>
      <w:rFonts w:cs="Calibri"/>
      <w:lang w:eastAsia="en-US"/>
    </w:rPr>
  </w:style>
  <w:style w:type="paragraph" w:customStyle="1" w:styleId="Heading">
    <w:name w:val="Heading"/>
    <w:uiPriority w:val="99"/>
    <w:rsid w:val="000A119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uiPriority w:val="99"/>
    <w:rsid w:val="000A119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0A119E"/>
  </w:style>
  <w:style w:type="paragraph" w:styleId="af5">
    <w:name w:val="header"/>
    <w:basedOn w:val="a"/>
    <w:link w:val="af4"/>
    <w:uiPriority w:val="99"/>
    <w:rsid w:val="000A119E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7">
    <w:name w:val="Верхний колонтитул Знак1"/>
    <w:basedOn w:val="a0"/>
    <w:uiPriority w:val="99"/>
    <w:semiHidden/>
    <w:rsid w:val="000A119E"/>
  </w:style>
  <w:style w:type="character" w:customStyle="1" w:styleId="HeaderChar1">
    <w:name w:val="Header Char1"/>
    <w:uiPriority w:val="99"/>
    <w:semiHidden/>
    <w:locked/>
    <w:rsid w:val="000A119E"/>
    <w:rPr>
      <w:rFonts w:cs="Calibri"/>
      <w:lang w:eastAsia="en-US"/>
    </w:rPr>
  </w:style>
  <w:style w:type="paragraph" w:customStyle="1" w:styleId="af6">
    <w:name w:val="Нормальный"/>
    <w:uiPriority w:val="99"/>
    <w:rsid w:val="000A1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Hyperlink"/>
    <w:uiPriority w:val="99"/>
    <w:rsid w:val="000A119E"/>
    <w:rPr>
      <w:rFonts w:cs="Times New Roman"/>
      <w:color w:val="0000FF"/>
      <w:u w:val="single"/>
    </w:rPr>
  </w:style>
  <w:style w:type="character" w:customStyle="1" w:styleId="af8">
    <w:name w:val="Текст Знак"/>
    <w:link w:val="af9"/>
    <w:locked/>
    <w:rsid w:val="000A119E"/>
    <w:rPr>
      <w:rFonts w:ascii="Consolas" w:hAnsi="Consolas"/>
      <w:sz w:val="21"/>
    </w:rPr>
  </w:style>
  <w:style w:type="paragraph" w:styleId="af9">
    <w:name w:val="Plain Text"/>
    <w:basedOn w:val="a"/>
    <w:link w:val="af8"/>
    <w:rsid w:val="000A119E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8">
    <w:name w:val="Текст Знак1"/>
    <w:basedOn w:val="a0"/>
    <w:uiPriority w:val="99"/>
    <w:rsid w:val="000A119E"/>
    <w:rPr>
      <w:rFonts w:ascii="Consolas" w:hAnsi="Consolas"/>
      <w:sz w:val="21"/>
      <w:szCs w:val="21"/>
    </w:rPr>
  </w:style>
  <w:style w:type="character" w:customStyle="1" w:styleId="PlainTextChar1">
    <w:name w:val="Plain Text Char1"/>
    <w:uiPriority w:val="99"/>
    <w:semiHidden/>
    <w:locked/>
    <w:rsid w:val="000A119E"/>
    <w:rPr>
      <w:rFonts w:ascii="Courier New" w:hAnsi="Courier New" w:cs="Courier New"/>
      <w:sz w:val="20"/>
      <w:szCs w:val="20"/>
      <w:lang w:eastAsia="en-US"/>
    </w:rPr>
  </w:style>
  <w:style w:type="character" w:customStyle="1" w:styleId="afa">
    <w:name w:val="Текст выноски Знак"/>
    <w:link w:val="afb"/>
    <w:uiPriority w:val="99"/>
    <w:locked/>
    <w:rsid w:val="000A119E"/>
    <w:rPr>
      <w:rFonts w:ascii="Tahoma" w:hAnsi="Tahoma"/>
      <w:sz w:val="16"/>
    </w:rPr>
  </w:style>
  <w:style w:type="paragraph" w:styleId="afb">
    <w:name w:val="Balloon Text"/>
    <w:basedOn w:val="a"/>
    <w:link w:val="afa"/>
    <w:uiPriority w:val="99"/>
    <w:rsid w:val="000A119E"/>
    <w:pPr>
      <w:spacing w:after="0" w:line="240" w:lineRule="auto"/>
    </w:pPr>
    <w:rPr>
      <w:rFonts w:ascii="Tahoma" w:eastAsiaTheme="minorHAnsi" w:hAnsi="Tahoma" w:cstheme="minorBidi"/>
      <w:sz w:val="16"/>
    </w:rPr>
  </w:style>
  <w:style w:type="character" w:customStyle="1" w:styleId="19">
    <w:name w:val="Текст выноски Знак1"/>
    <w:basedOn w:val="a0"/>
    <w:uiPriority w:val="99"/>
    <w:semiHidden/>
    <w:rsid w:val="000A119E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0A119E"/>
    <w:rPr>
      <w:rFonts w:ascii="Times New Roman" w:hAnsi="Times New Roman" w:cs="Calibri"/>
      <w:sz w:val="2"/>
      <w:lang w:eastAsia="en-US"/>
    </w:rPr>
  </w:style>
  <w:style w:type="paragraph" w:customStyle="1" w:styleId="FR1">
    <w:name w:val="FR1"/>
    <w:uiPriority w:val="99"/>
    <w:rsid w:val="000A119E"/>
    <w:pPr>
      <w:widowControl w:val="0"/>
      <w:autoSpaceDE w:val="0"/>
      <w:autoSpaceDN w:val="0"/>
      <w:adjustRightInd w:val="0"/>
      <w:spacing w:before="240" w:after="0" w:line="338" w:lineRule="auto"/>
    </w:pPr>
    <w:rPr>
      <w:rFonts w:ascii="Arial" w:eastAsia="Times New Roman" w:hAnsi="Arial" w:cs="Arial"/>
      <w:lang w:eastAsia="ru-RU"/>
    </w:rPr>
  </w:style>
  <w:style w:type="character" w:customStyle="1" w:styleId="24">
    <w:name w:val="Основной текст (2)_"/>
    <w:link w:val="25"/>
    <w:uiPriority w:val="99"/>
    <w:locked/>
    <w:rsid w:val="000A119E"/>
    <w:rPr>
      <w:b/>
      <w:spacing w:val="-10"/>
      <w:sz w:val="25"/>
    </w:rPr>
  </w:style>
  <w:style w:type="paragraph" w:customStyle="1" w:styleId="25">
    <w:name w:val="Основной текст (2)"/>
    <w:basedOn w:val="a"/>
    <w:link w:val="24"/>
    <w:uiPriority w:val="99"/>
    <w:rsid w:val="000A119E"/>
    <w:pPr>
      <w:widowControl w:val="0"/>
      <w:spacing w:after="0" w:line="240" w:lineRule="atLeast"/>
      <w:jc w:val="center"/>
    </w:pPr>
    <w:rPr>
      <w:rFonts w:asciiTheme="minorHAnsi" w:eastAsiaTheme="minorHAnsi" w:hAnsiTheme="minorHAnsi" w:cstheme="minorBidi"/>
      <w:b/>
      <w:spacing w:val="-10"/>
      <w:sz w:val="25"/>
    </w:rPr>
  </w:style>
  <w:style w:type="paragraph" w:customStyle="1" w:styleId="afc">
    <w:name w:val="Знак Знак Знак Знак Знак Знак"/>
    <w:basedOn w:val="a"/>
    <w:uiPriority w:val="99"/>
    <w:rsid w:val="000A119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d">
    <w:name w:val="Знак"/>
    <w:basedOn w:val="a"/>
    <w:uiPriority w:val="99"/>
    <w:rsid w:val="000A119E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fe">
    <w:name w:val="Название объекта.Знак"/>
    <w:basedOn w:val="a"/>
    <w:uiPriority w:val="99"/>
    <w:rsid w:val="000A119E"/>
    <w:pPr>
      <w:spacing w:after="0" w:line="240" w:lineRule="auto"/>
      <w:ind w:firstLine="426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">
    <w:name w:val="Содержимое таблицы"/>
    <w:basedOn w:val="a"/>
    <w:uiPriority w:val="99"/>
    <w:rsid w:val="000A119E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customStyle="1" w:styleId="31">
    <w:name w:val="Знак Знак3 Знак Знак"/>
    <w:basedOn w:val="a"/>
    <w:uiPriority w:val="99"/>
    <w:rsid w:val="000A11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0">
    <w:name w:val="FollowedHyperlink"/>
    <w:uiPriority w:val="99"/>
    <w:rsid w:val="000A119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0A119E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i/>
      <w:i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i/>
      <w:i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i/>
      <w:i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0A11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i/>
      <w:i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A119E"/>
    <w:pPr>
      <w:pBdr>
        <w:left w:val="single" w:sz="8" w:space="2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hAnsi="Times New Roman" w:cs="Times New Roman"/>
      <w:sz w:val="14"/>
      <w:szCs w:val="14"/>
      <w:lang w:eastAsia="ru-RU"/>
    </w:rPr>
  </w:style>
  <w:style w:type="paragraph" w:customStyle="1" w:styleId="xl89">
    <w:name w:val="xl89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3">
    <w:name w:val="xl93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4">
    <w:name w:val="xl94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5">
    <w:name w:val="xl95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6">
    <w:name w:val="xl96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7">
    <w:name w:val="xl97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3"/>
      <w:szCs w:val="23"/>
      <w:lang w:eastAsia="ru-RU"/>
    </w:rPr>
  </w:style>
  <w:style w:type="paragraph" w:customStyle="1" w:styleId="xl98">
    <w:name w:val="xl98"/>
    <w:basedOn w:val="a"/>
    <w:uiPriority w:val="99"/>
    <w:rsid w:val="000A11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0A11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0A11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0A11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0A119E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0A119E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33">
    <w:name w:val="xl133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34">
    <w:name w:val="xl134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35">
    <w:name w:val="xl135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39">
    <w:name w:val="xl139"/>
    <w:basedOn w:val="a"/>
    <w:uiPriority w:val="99"/>
    <w:rsid w:val="000A11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0">
    <w:name w:val="xl140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1">
    <w:name w:val="xl141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2">
    <w:name w:val="xl142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3">
    <w:name w:val="xl143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4">
    <w:name w:val="xl144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5">
    <w:name w:val="xl145"/>
    <w:basedOn w:val="a"/>
    <w:uiPriority w:val="99"/>
    <w:rsid w:val="000A119E"/>
    <w:pP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6">
    <w:name w:val="xl146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7">
    <w:name w:val="xl147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8">
    <w:name w:val="xl148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49">
    <w:name w:val="xl149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3"/>
      <w:szCs w:val="23"/>
      <w:lang w:eastAsia="ru-RU"/>
    </w:rPr>
  </w:style>
  <w:style w:type="paragraph" w:customStyle="1" w:styleId="xl150">
    <w:name w:val="xl150"/>
    <w:basedOn w:val="a"/>
    <w:uiPriority w:val="99"/>
    <w:rsid w:val="000A11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0A11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0A11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0A119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0A1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0A119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0A119E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0A119E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0A119E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0A119E"/>
    <w:pP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0A119E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0A1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0A119E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0A1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0A119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0A119E"/>
    <w:pP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0A119E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0A1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0A119E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0A1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hAnsi="Arial" w:cs="Arial"/>
      <w:sz w:val="24"/>
      <w:szCs w:val="24"/>
      <w:lang w:eastAsia="ru-RU"/>
    </w:rPr>
  </w:style>
  <w:style w:type="character" w:styleId="aff1">
    <w:name w:val="Emphasis"/>
    <w:qFormat/>
    <w:rsid w:val="000A119E"/>
    <w:rPr>
      <w:i/>
      <w:iCs/>
    </w:rPr>
  </w:style>
  <w:style w:type="paragraph" w:styleId="32">
    <w:name w:val="Body Text Indent 3"/>
    <w:basedOn w:val="a"/>
    <w:link w:val="33"/>
    <w:uiPriority w:val="99"/>
    <w:unhideWhenUsed/>
    <w:rsid w:val="000A119E"/>
    <w:pPr>
      <w:spacing w:after="120"/>
      <w:ind w:left="283"/>
    </w:pPr>
    <w:rPr>
      <w:rFonts w:cs="Times New Roman"/>
      <w:sz w:val="16"/>
      <w:szCs w:val="16"/>
      <w:lang w:val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A119E"/>
    <w:rPr>
      <w:rFonts w:ascii="Calibri" w:eastAsia="Calibri" w:hAnsi="Calibri" w:cs="Times New Roman"/>
      <w:sz w:val="16"/>
      <w:szCs w:val="16"/>
      <w:lang w:val="x-none"/>
    </w:rPr>
  </w:style>
  <w:style w:type="character" w:styleId="aff2">
    <w:name w:val="page number"/>
    <w:basedOn w:val="a0"/>
    <w:rsid w:val="000A119E"/>
  </w:style>
  <w:style w:type="paragraph" w:customStyle="1" w:styleId="130">
    <w:name w:val="Основной текст13"/>
    <w:basedOn w:val="a"/>
    <w:rsid w:val="000A119E"/>
    <w:pPr>
      <w:shd w:val="clear" w:color="auto" w:fill="FFFFFF"/>
      <w:spacing w:after="720" w:line="0" w:lineRule="atLeast"/>
      <w:ind w:hanging="70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ConsNormal">
    <w:name w:val="ConsNormal"/>
    <w:rsid w:val="000A119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0A119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0A119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26">
    <w:name w:val="Body Text 2"/>
    <w:basedOn w:val="a"/>
    <w:link w:val="27"/>
    <w:rsid w:val="000A11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7">
    <w:name w:val="Основной текст 2 Знак"/>
    <w:basedOn w:val="a0"/>
    <w:link w:val="26"/>
    <w:rsid w:val="000A119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4">
    <w:name w:val="Body Text 3"/>
    <w:basedOn w:val="a"/>
    <w:link w:val="35"/>
    <w:rsid w:val="000A119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0A119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styleId="aff3">
    <w:name w:val="Table Grid"/>
    <w:basedOn w:val="a1"/>
    <w:rsid w:val="000A1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A119E"/>
  </w:style>
  <w:style w:type="numbering" w:customStyle="1" w:styleId="28">
    <w:name w:val="Нет списка2"/>
    <w:next w:val="a2"/>
    <w:uiPriority w:val="99"/>
    <w:semiHidden/>
    <w:unhideWhenUsed/>
    <w:rsid w:val="000A119E"/>
  </w:style>
  <w:style w:type="paragraph" w:customStyle="1" w:styleId="Centered">
    <w:name w:val="Centered"/>
    <w:uiPriority w:val="99"/>
    <w:rsid w:val="000A11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styleId="aff4">
    <w:name w:val="Strong"/>
    <w:uiPriority w:val="99"/>
    <w:qFormat/>
    <w:rsid w:val="000A119E"/>
    <w:rPr>
      <w:rFonts w:ascii="Arial" w:hAnsi="Arial" w:cs="Arial"/>
      <w:b/>
      <w:bCs/>
      <w:lang w:val="ru-RU"/>
    </w:rPr>
  </w:style>
  <w:style w:type="paragraph" w:customStyle="1" w:styleId="western">
    <w:name w:val="western"/>
    <w:basedOn w:val="a"/>
    <w:rsid w:val="000A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99"/>
    <w:locked/>
    <w:rsid w:val="000A119E"/>
    <w:rPr>
      <w:rFonts w:ascii="Calibri" w:eastAsia="Calibri" w:hAnsi="Calibri" w:cs="Times New Roman"/>
      <w:lang w:val="x-none"/>
    </w:rPr>
  </w:style>
  <w:style w:type="character" w:customStyle="1" w:styleId="1a">
    <w:name w:val="Название Знак1"/>
    <w:rsid w:val="000A119E"/>
    <w:rPr>
      <w:rFonts w:ascii="Times New Roman" w:eastAsia="Calibri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19</Pages>
  <Words>6007</Words>
  <Characters>34241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6</cp:revision>
  <dcterms:created xsi:type="dcterms:W3CDTF">2024-11-11T05:42:00Z</dcterms:created>
  <dcterms:modified xsi:type="dcterms:W3CDTF">2025-10-10T09:02:00Z</dcterms:modified>
</cp:coreProperties>
</file>